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705BF" w14:textId="77777777" w:rsidR="009F776C" w:rsidRDefault="009F776C"/>
    <w:p w14:paraId="7CED93D1" w14:textId="77777777" w:rsidR="009F776C" w:rsidRDefault="009F776C"/>
    <w:p w14:paraId="0089CDD7" w14:textId="4E4BF9A6" w:rsidR="009F776C" w:rsidRPr="00753453" w:rsidRDefault="009F776C" w:rsidP="00474E3E">
      <w:pPr>
        <w:jc w:val="center"/>
        <w:rPr>
          <w:rFonts w:ascii="Source Sans Pro" w:hAnsi="Source Sans Pro"/>
          <w:color w:val="1C9AD6"/>
          <w:sz w:val="28"/>
          <w:szCs w:val="28"/>
        </w:rPr>
      </w:pPr>
      <w:r w:rsidRPr="00753453">
        <w:rPr>
          <w:rFonts w:ascii="Source Sans Pro" w:hAnsi="Source Sans Pro"/>
          <w:color w:val="1C9AD6"/>
          <w:sz w:val="28"/>
          <w:szCs w:val="28"/>
        </w:rPr>
        <w:t>RISK REDUCTION FORM:</w:t>
      </w:r>
    </w:p>
    <w:p w14:paraId="45057D5F" w14:textId="1561899B" w:rsidR="00474E3E" w:rsidRDefault="00474E3E" w:rsidP="00474E3E">
      <w:pPr>
        <w:spacing w:line="240" w:lineRule="auto"/>
        <w:rPr>
          <w:rFonts w:ascii="Source Sans Pro" w:hAnsi="Source Sans Pro"/>
          <w:color w:val="000000"/>
          <w:sz w:val="22"/>
          <w:szCs w:val="22"/>
        </w:rPr>
      </w:pPr>
      <w:r w:rsidRPr="00474E3E">
        <w:rPr>
          <w:rFonts w:ascii="Source Sans Pro" w:hAnsi="Source Sans Pro"/>
          <w:color w:val="000000"/>
          <w:sz w:val="22"/>
          <w:szCs w:val="22"/>
        </w:rPr>
        <w:t xml:space="preserve">Use this form to assess your operation’s slip, </w:t>
      </w:r>
      <w:proofErr w:type="gramStart"/>
      <w:r w:rsidRPr="00474E3E">
        <w:rPr>
          <w:rFonts w:ascii="Source Sans Pro" w:hAnsi="Source Sans Pro"/>
          <w:color w:val="000000"/>
          <w:sz w:val="22"/>
          <w:szCs w:val="22"/>
        </w:rPr>
        <w:t>trip</w:t>
      </w:r>
      <w:proofErr w:type="gramEnd"/>
      <w:r w:rsidRPr="00474E3E">
        <w:rPr>
          <w:rFonts w:ascii="Source Sans Pro" w:hAnsi="Source Sans Pro"/>
          <w:color w:val="000000"/>
          <w:sz w:val="22"/>
          <w:szCs w:val="22"/>
        </w:rPr>
        <w:t xml:space="preserve"> and fall (STF) risk, then identify opportunities to reduce risks!</w:t>
      </w:r>
    </w:p>
    <w:tbl>
      <w:tblPr>
        <w:tblStyle w:val="TableGrid"/>
        <w:tblW w:w="0" w:type="auto"/>
        <w:tblBorders>
          <w:top w:val="single" w:sz="4" w:space="0" w:color="1C9AD6"/>
          <w:left w:val="single" w:sz="4" w:space="0" w:color="1C9AD6"/>
          <w:bottom w:val="single" w:sz="4" w:space="0" w:color="1C9AD6"/>
          <w:right w:val="single" w:sz="4" w:space="0" w:color="1C9AD6"/>
          <w:insideH w:val="single" w:sz="4" w:space="0" w:color="1C9AD6"/>
          <w:insideV w:val="single" w:sz="4" w:space="0" w:color="1C9AD6"/>
        </w:tblBorders>
        <w:tblLook w:val="04A0" w:firstRow="1" w:lastRow="0" w:firstColumn="1" w:lastColumn="0" w:noHBand="0" w:noVBand="1"/>
      </w:tblPr>
      <w:tblGrid>
        <w:gridCol w:w="2336"/>
        <w:gridCol w:w="1979"/>
        <w:gridCol w:w="2697"/>
        <w:gridCol w:w="2338"/>
      </w:tblGrid>
      <w:tr w:rsidR="00810464" w14:paraId="73255D71" w14:textId="77777777" w:rsidTr="00753453">
        <w:trPr>
          <w:trHeight w:val="404"/>
        </w:trPr>
        <w:tc>
          <w:tcPr>
            <w:tcW w:w="2336" w:type="dxa"/>
            <w:tcBorders>
              <w:bottom w:val="nil"/>
            </w:tcBorders>
            <w:shd w:val="clear" w:color="auto" w:fill="auto"/>
            <w:vAlign w:val="center"/>
          </w:tcPr>
          <w:p w14:paraId="3DF6660C" w14:textId="07B4ED43" w:rsidR="00810464" w:rsidRDefault="00810464" w:rsidP="007456CF">
            <w:pPr>
              <w:rPr>
                <w:rFonts w:ascii="Source Sans Pro" w:hAnsi="Source Sans Pro"/>
                <w:color w:val="000000"/>
                <w:sz w:val="22"/>
                <w:szCs w:val="22"/>
              </w:rPr>
            </w:pPr>
            <w:r>
              <w:rPr>
                <w:rFonts w:ascii="Source Sans Pro" w:hAnsi="Source Sans Pro"/>
                <w:color w:val="000000"/>
                <w:sz w:val="22"/>
                <w:szCs w:val="22"/>
              </w:rPr>
              <w:t>Company:</w:t>
            </w:r>
          </w:p>
        </w:tc>
        <w:tc>
          <w:tcPr>
            <w:tcW w:w="1979" w:type="dxa"/>
            <w:tcBorders>
              <w:bottom w:val="nil"/>
            </w:tcBorders>
            <w:shd w:val="clear" w:color="auto" w:fill="auto"/>
            <w:vAlign w:val="center"/>
          </w:tcPr>
          <w:p w14:paraId="30B5B014" w14:textId="7780B28E" w:rsidR="00810464" w:rsidRDefault="00810464" w:rsidP="007456CF">
            <w:pPr>
              <w:rPr>
                <w:rFonts w:ascii="Source Sans Pro" w:hAnsi="Source Sans Pro"/>
                <w:color w:val="000000"/>
                <w:sz w:val="22"/>
                <w:szCs w:val="22"/>
              </w:rPr>
            </w:pPr>
            <w:r>
              <w:rPr>
                <w:rFonts w:ascii="Source Sans Pro" w:hAnsi="Source Sans Pro"/>
                <w:color w:val="000000"/>
                <w:sz w:val="22"/>
                <w:szCs w:val="22"/>
              </w:rPr>
              <w:t>Industry/Trade:</w:t>
            </w:r>
          </w:p>
        </w:tc>
        <w:tc>
          <w:tcPr>
            <w:tcW w:w="2697" w:type="dxa"/>
            <w:tcBorders>
              <w:bottom w:val="nil"/>
            </w:tcBorders>
            <w:shd w:val="clear" w:color="auto" w:fill="auto"/>
            <w:vAlign w:val="center"/>
          </w:tcPr>
          <w:p w14:paraId="4530C150" w14:textId="6A4AA94B" w:rsidR="00810464" w:rsidRDefault="00810464" w:rsidP="007456CF">
            <w:pPr>
              <w:rPr>
                <w:rFonts w:ascii="Source Sans Pro" w:hAnsi="Source Sans Pro"/>
                <w:color w:val="000000"/>
                <w:sz w:val="22"/>
                <w:szCs w:val="22"/>
              </w:rPr>
            </w:pPr>
            <w:r>
              <w:rPr>
                <w:rFonts w:ascii="Source Sans Pro" w:hAnsi="Source Sans Pro"/>
                <w:color w:val="000000"/>
                <w:sz w:val="22"/>
                <w:szCs w:val="22"/>
              </w:rPr>
              <w:t>Completed by:</w:t>
            </w:r>
          </w:p>
        </w:tc>
        <w:tc>
          <w:tcPr>
            <w:tcW w:w="2338" w:type="dxa"/>
            <w:tcBorders>
              <w:bottom w:val="nil"/>
            </w:tcBorders>
            <w:shd w:val="clear" w:color="auto" w:fill="auto"/>
            <w:vAlign w:val="center"/>
          </w:tcPr>
          <w:p w14:paraId="7A74EFED" w14:textId="66B4023C" w:rsidR="00810464" w:rsidRDefault="00810464" w:rsidP="007456CF">
            <w:pPr>
              <w:rPr>
                <w:rFonts w:ascii="Source Sans Pro" w:hAnsi="Source Sans Pro"/>
                <w:color w:val="000000"/>
                <w:sz w:val="22"/>
                <w:szCs w:val="22"/>
              </w:rPr>
            </w:pPr>
            <w:r>
              <w:rPr>
                <w:rFonts w:ascii="Source Sans Pro" w:hAnsi="Source Sans Pro"/>
                <w:color w:val="000000"/>
                <w:sz w:val="22"/>
                <w:szCs w:val="22"/>
              </w:rPr>
              <w:t>Date:</w:t>
            </w:r>
          </w:p>
        </w:tc>
      </w:tr>
      <w:tr w:rsidR="00810464" w14:paraId="6F555314" w14:textId="77777777" w:rsidTr="00753453">
        <w:trPr>
          <w:trHeight w:val="656"/>
        </w:trPr>
        <w:tc>
          <w:tcPr>
            <w:tcW w:w="2336" w:type="dxa"/>
            <w:tcBorders>
              <w:top w:val="nil"/>
              <w:bottom w:val="single" w:sz="4" w:space="0" w:color="1C9AD6"/>
            </w:tcBorders>
            <w:shd w:val="clear" w:color="auto" w:fill="auto"/>
          </w:tcPr>
          <w:p w14:paraId="7B7EAC1D" w14:textId="011F13D4" w:rsidR="00810464" w:rsidRPr="007456CF" w:rsidRDefault="00810464" w:rsidP="007456CF">
            <w:pPr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r w:rsidRPr="007456CF"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  <w:t>Enter Company</w:t>
            </w:r>
          </w:p>
        </w:tc>
        <w:tc>
          <w:tcPr>
            <w:tcW w:w="1979" w:type="dxa"/>
            <w:tcBorders>
              <w:top w:val="nil"/>
              <w:bottom w:val="single" w:sz="4" w:space="0" w:color="1C9AD6"/>
            </w:tcBorders>
            <w:shd w:val="clear" w:color="auto" w:fill="auto"/>
          </w:tcPr>
          <w:p w14:paraId="459DBC50" w14:textId="7492CD6C" w:rsidR="00810464" w:rsidRPr="007456CF" w:rsidRDefault="00810464" w:rsidP="007456CF">
            <w:pPr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r w:rsidRPr="007456CF"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  <w:t>Enter Industry</w:t>
            </w:r>
          </w:p>
        </w:tc>
        <w:tc>
          <w:tcPr>
            <w:tcW w:w="2697" w:type="dxa"/>
            <w:tcBorders>
              <w:top w:val="nil"/>
              <w:bottom w:val="single" w:sz="4" w:space="0" w:color="1C9AD6"/>
            </w:tcBorders>
            <w:shd w:val="clear" w:color="auto" w:fill="auto"/>
          </w:tcPr>
          <w:p w14:paraId="4F4E1291" w14:textId="7F5ADA7C" w:rsidR="00810464" w:rsidRPr="007456CF" w:rsidRDefault="00810464" w:rsidP="007456CF">
            <w:pPr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r w:rsidRPr="007456CF"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  <w:t>Enter name</w:t>
            </w:r>
          </w:p>
        </w:tc>
        <w:tc>
          <w:tcPr>
            <w:tcW w:w="2338" w:type="dxa"/>
            <w:tcBorders>
              <w:top w:val="nil"/>
              <w:bottom w:val="single" w:sz="4" w:space="0" w:color="1C9AD6"/>
            </w:tcBorders>
            <w:shd w:val="clear" w:color="auto" w:fill="auto"/>
          </w:tcPr>
          <w:p w14:paraId="012B25C9" w14:textId="534007C6" w:rsidR="00810464" w:rsidRPr="007456CF" w:rsidRDefault="00810464" w:rsidP="007456CF">
            <w:pPr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r w:rsidRPr="007456CF"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  <w:t>Enter date</w:t>
            </w:r>
          </w:p>
        </w:tc>
      </w:tr>
      <w:tr w:rsidR="00810464" w14:paraId="7B2D5157" w14:textId="77777777" w:rsidTr="00753453">
        <w:trPr>
          <w:trHeight w:val="359"/>
        </w:trPr>
        <w:tc>
          <w:tcPr>
            <w:tcW w:w="9350" w:type="dxa"/>
            <w:gridSpan w:val="4"/>
            <w:tcBorders>
              <w:bottom w:val="nil"/>
            </w:tcBorders>
            <w:vAlign w:val="center"/>
          </w:tcPr>
          <w:p w14:paraId="2383324C" w14:textId="3D55302E" w:rsidR="00810464" w:rsidRDefault="00810464" w:rsidP="007456CF">
            <w:pPr>
              <w:rPr>
                <w:rFonts w:ascii="Source Sans Pro" w:hAnsi="Source Sans Pro"/>
                <w:color w:val="000000"/>
                <w:sz w:val="22"/>
                <w:szCs w:val="22"/>
              </w:rPr>
            </w:pPr>
            <w:r>
              <w:rPr>
                <w:rFonts w:ascii="Source Sans Pro" w:hAnsi="Source Sans Pro"/>
                <w:color w:val="000000"/>
                <w:sz w:val="22"/>
                <w:szCs w:val="22"/>
              </w:rPr>
              <w:t>Period Considered for Loss Review:</w:t>
            </w:r>
          </w:p>
        </w:tc>
      </w:tr>
      <w:tr w:rsidR="00810464" w14:paraId="56FC6545" w14:textId="77777777" w:rsidTr="00753453">
        <w:trPr>
          <w:trHeight w:val="881"/>
        </w:trPr>
        <w:tc>
          <w:tcPr>
            <w:tcW w:w="9350" w:type="dxa"/>
            <w:gridSpan w:val="4"/>
            <w:tcBorders>
              <w:top w:val="nil"/>
              <w:bottom w:val="single" w:sz="4" w:space="0" w:color="1C9AD6"/>
            </w:tcBorders>
          </w:tcPr>
          <w:p w14:paraId="2FD3449F" w14:textId="276EAFC9" w:rsidR="00810464" w:rsidRPr="007456CF" w:rsidRDefault="00810464" w:rsidP="007456CF">
            <w:pPr>
              <w:rPr>
                <w:rFonts w:ascii="Source Sans Pro" w:hAnsi="Source Sans Pro"/>
                <w:color w:val="000000"/>
                <w:sz w:val="20"/>
                <w:szCs w:val="20"/>
              </w:rPr>
            </w:pPr>
            <w:r w:rsidRPr="007456CF"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  <w:t>Enter text</w:t>
            </w:r>
          </w:p>
        </w:tc>
      </w:tr>
      <w:tr w:rsidR="00810464" w14:paraId="08EE36FF" w14:textId="77777777" w:rsidTr="00753453">
        <w:tc>
          <w:tcPr>
            <w:tcW w:w="9350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4AE2C81" w14:textId="77777777" w:rsidR="00810464" w:rsidRDefault="00810464" w:rsidP="007456CF">
            <w:pPr>
              <w:rPr>
                <w:rFonts w:ascii="Source Sans Pro" w:hAnsi="Source Sans Pro"/>
                <w:color w:val="000000"/>
                <w:sz w:val="22"/>
                <w:szCs w:val="22"/>
              </w:rPr>
            </w:pPr>
          </w:p>
        </w:tc>
      </w:tr>
      <w:tr w:rsidR="00810464" w14:paraId="1B3141C3" w14:textId="77777777" w:rsidTr="00753453">
        <w:trPr>
          <w:trHeight w:val="593"/>
        </w:trPr>
        <w:tc>
          <w:tcPr>
            <w:tcW w:w="2336" w:type="dxa"/>
            <w:tcBorders>
              <w:bottom w:val="single" w:sz="4" w:space="0" w:color="1C9AD6"/>
            </w:tcBorders>
            <w:vAlign w:val="center"/>
          </w:tcPr>
          <w:p w14:paraId="35C08351" w14:textId="2D02DD91" w:rsidR="00810464" w:rsidRDefault="00810464" w:rsidP="007456CF">
            <w:pPr>
              <w:rPr>
                <w:rFonts w:ascii="Source Sans Pro" w:hAnsi="Source Sans Pro"/>
                <w:color w:val="000000"/>
                <w:sz w:val="22"/>
                <w:szCs w:val="22"/>
              </w:rPr>
            </w:pPr>
            <w:r>
              <w:rPr>
                <w:rFonts w:ascii="Source Sans Pro" w:hAnsi="Source Sans Pro"/>
                <w:color w:val="000000"/>
                <w:sz w:val="22"/>
                <w:szCs w:val="22"/>
              </w:rPr>
              <w:t># of STF Claims</w:t>
            </w:r>
          </w:p>
        </w:tc>
        <w:tc>
          <w:tcPr>
            <w:tcW w:w="1979" w:type="dxa"/>
            <w:tcBorders>
              <w:bottom w:val="single" w:sz="4" w:space="0" w:color="1C9AD6"/>
            </w:tcBorders>
            <w:vAlign w:val="center"/>
          </w:tcPr>
          <w:p w14:paraId="357A9A7C" w14:textId="3A65C885" w:rsidR="00810464" w:rsidRDefault="00810464" w:rsidP="007456CF">
            <w:pPr>
              <w:rPr>
                <w:rFonts w:ascii="Source Sans Pro" w:hAnsi="Source Sans Pro"/>
                <w:color w:val="000000"/>
                <w:sz w:val="22"/>
                <w:szCs w:val="22"/>
              </w:rPr>
            </w:pPr>
            <w:r>
              <w:rPr>
                <w:rFonts w:ascii="Source Sans Pro" w:hAnsi="Source Sans Pro"/>
                <w:color w:val="000000"/>
                <w:sz w:val="22"/>
                <w:szCs w:val="22"/>
              </w:rPr>
              <w:t>Cost of STF Claims</w:t>
            </w:r>
          </w:p>
        </w:tc>
        <w:tc>
          <w:tcPr>
            <w:tcW w:w="2697" w:type="dxa"/>
            <w:tcBorders>
              <w:bottom w:val="single" w:sz="4" w:space="0" w:color="1C9AD6"/>
            </w:tcBorders>
            <w:vAlign w:val="center"/>
          </w:tcPr>
          <w:p w14:paraId="3B855BA4" w14:textId="4487348C" w:rsidR="00810464" w:rsidRDefault="00810464" w:rsidP="007456CF">
            <w:pPr>
              <w:rPr>
                <w:rFonts w:ascii="Source Sans Pro" w:hAnsi="Source Sans Pro"/>
                <w:color w:val="000000"/>
                <w:sz w:val="22"/>
                <w:szCs w:val="22"/>
              </w:rPr>
            </w:pPr>
            <w:r>
              <w:rPr>
                <w:rFonts w:ascii="Source Sans Pro" w:hAnsi="Source Sans Pro"/>
                <w:color w:val="000000"/>
                <w:sz w:val="22"/>
                <w:szCs w:val="22"/>
              </w:rPr>
              <w:t>% of Claims Attributed</w:t>
            </w:r>
            <w:r w:rsidR="00753453">
              <w:rPr>
                <w:rFonts w:ascii="Source Sans Pro" w:hAnsi="Source Sans Pro"/>
                <w:color w:val="000000"/>
                <w:sz w:val="22"/>
                <w:szCs w:val="22"/>
              </w:rPr>
              <w:br/>
            </w:r>
            <w:r>
              <w:rPr>
                <w:rFonts w:ascii="Source Sans Pro" w:hAnsi="Source Sans Pro"/>
                <w:color w:val="000000"/>
                <w:sz w:val="22"/>
                <w:szCs w:val="22"/>
              </w:rPr>
              <w:t>to STF</w:t>
            </w:r>
          </w:p>
        </w:tc>
        <w:tc>
          <w:tcPr>
            <w:tcW w:w="2338" w:type="dxa"/>
            <w:tcBorders>
              <w:bottom w:val="single" w:sz="4" w:space="0" w:color="1C9AD6"/>
            </w:tcBorders>
            <w:vAlign w:val="center"/>
          </w:tcPr>
          <w:p w14:paraId="06197F31" w14:textId="16B3205A" w:rsidR="00810464" w:rsidRDefault="00810464" w:rsidP="007456CF">
            <w:pPr>
              <w:rPr>
                <w:rFonts w:ascii="Source Sans Pro" w:hAnsi="Source Sans Pro"/>
                <w:color w:val="000000"/>
                <w:sz w:val="22"/>
                <w:szCs w:val="22"/>
              </w:rPr>
            </w:pPr>
            <w:r>
              <w:rPr>
                <w:rFonts w:ascii="Source Sans Pro" w:hAnsi="Source Sans Pro"/>
                <w:color w:val="000000"/>
                <w:sz w:val="22"/>
                <w:szCs w:val="22"/>
              </w:rPr>
              <w:t>% of Claims Costs Attributed to STF</w:t>
            </w:r>
          </w:p>
        </w:tc>
      </w:tr>
      <w:tr w:rsidR="00810464" w14:paraId="2AFDE469" w14:textId="77777777" w:rsidTr="00753453">
        <w:trPr>
          <w:trHeight w:val="359"/>
        </w:trPr>
        <w:tc>
          <w:tcPr>
            <w:tcW w:w="2336" w:type="dxa"/>
            <w:tcBorders>
              <w:top w:val="single" w:sz="4" w:space="0" w:color="1C9AD6"/>
            </w:tcBorders>
          </w:tcPr>
          <w:p w14:paraId="4BB489D7" w14:textId="729379DD" w:rsidR="00810464" w:rsidRPr="007456CF" w:rsidRDefault="00810464" w:rsidP="007456CF">
            <w:pPr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r w:rsidRPr="007456CF"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  <w:t>Enter number</w:t>
            </w:r>
          </w:p>
        </w:tc>
        <w:tc>
          <w:tcPr>
            <w:tcW w:w="1979" w:type="dxa"/>
            <w:tcBorders>
              <w:top w:val="single" w:sz="4" w:space="0" w:color="1C9AD6"/>
            </w:tcBorders>
          </w:tcPr>
          <w:p w14:paraId="6818D931" w14:textId="78A411DF" w:rsidR="00810464" w:rsidRPr="007456CF" w:rsidRDefault="00810464" w:rsidP="007456CF">
            <w:pPr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r w:rsidRPr="007456CF"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  <w:t>Enter cost</w:t>
            </w:r>
          </w:p>
        </w:tc>
        <w:tc>
          <w:tcPr>
            <w:tcW w:w="2697" w:type="dxa"/>
            <w:tcBorders>
              <w:top w:val="single" w:sz="4" w:space="0" w:color="1C9AD6"/>
            </w:tcBorders>
          </w:tcPr>
          <w:p w14:paraId="1C510FB5" w14:textId="441432CF" w:rsidR="00810464" w:rsidRPr="007456CF" w:rsidRDefault="00810464" w:rsidP="007456CF">
            <w:pPr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r w:rsidRPr="007456CF"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  <w:t>Enter precent</w:t>
            </w:r>
          </w:p>
        </w:tc>
        <w:tc>
          <w:tcPr>
            <w:tcW w:w="2338" w:type="dxa"/>
            <w:tcBorders>
              <w:top w:val="single" w:sz="4" w:space="0" w:color="1C9AD6"/>
            </w:tcBorders>
          </w:tcPr>
          <w:p w14:paraId="6CD46399" w14:textId="41A3DE03" w:rsidR="00810464" w:rsidRPr="007456CF" w:rsidRDefault="00810464" w:rsidP="007456CF">
            <w:pPr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r w:rsidRPr="007456CF"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  <w:t>Enter percent</w:t>
            </w:r>
          </w:p>
        </w:tc>
      </w:tr>
    </w:tbl>
    <w:p w14:paraId="448645D7" w14:textId="77777777" w:rsidR="001C3BC4" w:rsidRDefault="001C3BC4" w:rsidP="00474E3E">
      <w:pPr>
        <w:spacing w:line="240" w:lineRule="auto"/>
        <w:rPr>
          <w:rFonts w:ascii="Source Sans Pro" w:hAnsi="Source Sans Pro"/>
          <w:color w:val="000000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1C9AD6"/>
          <w:left w:val="single" w:sz="4" w:space="0" w:color="1C9AD6"/>
          <w:bottom w:val="single" w:sz="4" w:space="0" w:color="1C9AD6"/>
          <w:right w:val="single" w:sz="4" w:space="0" w:color="1C9AD6"/>
          <w:insideH w:val="single" w:sz="4" w:space="0" w:color="1C9AD6"/>
          <w:insideV w:val="single" w:sz="4" w:space="0" w:color="1C9AD6"/>
        </w:tblBorders>
        <w:tblLook w:val="04A0" w:firstRow="1" w:lastRow="0" w:firstColumn="1" w:lastColumn="0" w:noHBand="0" w:noVBand="1"/>
      </w:tblPr>
      <w:tblGrid>
        <w:gridCol w:w="3762"/>
        <w:gridCol w:w="569"/>
        <w:gridCol w:w="2244"/>
        <w:gridCol w:w="2775"/>
      </w:tblGrid>
      <w:tr w:rsidR="001C3BC4" w14:paraId="1D927D2A" w14:textId="77777777" w:rsidTr="00753453">
        <w:trPr>
          <w:trHeight w:val="386"/>
        </w:trPr>
        <w:tc>
          <w:tcPr>
            <w:tcW w:w="3775" w:type="dxa"/>
            <w:vAlign w:val="center"/>
          </w:tcPr>
          <w:p w14:paraId="1684FA67" w14:textId="13F0C005" w:rsidR="001C3BC4" w:rsidRPr="00753453" w:rsidRDefault="001C3BC4" w:rsidP="00753453">
            <w:pPr>
              <w:rPr>
                <w:rFonts w:ascii="Source Sans Pro" w:hAnsi="Source Sans Pro"/>
                <w:b/>
                <w:bCs/>
                <w:color w:val="1C9AD6"/>
                <w:sz w:val="22"/>
                <w:szCs w:val="22"/>
              </w:rPr>
            </w:pPr>
            <w:r w:rsidRPr="00753453">
              <w:rPr>
                <w:rFonts w:ascii="Source Sans Pro" w:hAnsi="Source Sans Pro"/>
                <w:b/>
                <w:bCs/>
                <w:color w:val="1C9AD6"/>
                <w:sz w:val="22"/>
                <w:szCs w:val="22"/>
              </w:rPr>
              <w:t>Slip, Trip, Fall Risk Factors</w:t>
            </w:r>
          </w:p>
        </w:tc>
        <w:tc>
          <w:tcPr>
            <w:tcW w:w="540" w:type="dxa"/>
            <w:vAlign w:val="center"/>
          </w:tcPr>
          <w:p w14:paraId="06870CF3" w14:textId="56D095DA" w:rsidR="001C3BC4" w:rsidRPr="00753453" w:rsidRDefault="001C3BC4" w:rsidP="00753453">
            <w:pPr>
              <w:rPr>
                <w:rFonts w:ascii="Source Sans Pro" w:hAnsi="Source Sans Pro"/>
                <w:b/>
                <w:bCs/>
                <w:color w:val="1C9AD6"/>
                <w:sz w:val="22"/>
                <w:szCs w:val="22"/>
              </w:rPr>
            </w:pPr>
            <w:r w:rsidRPr="00753453">
              <w:rPr>
                <w:rFonts w:ascii="Source Sans Pro" w:hAnsi="Source Sans Pro"/>
                <w:b/>
                <w:bCs/>
                <w:color w:val="1C9AD6"/>
                <w:sz w:val="22"/>
                <w:szCs w:val="22"/>
              </w:rPr>
              <w:t>Y/N</w:t>
            </w:r>
          </w:p>
        </w:tc>
        <w:tc>
          <w:tcPr>
            <w:tcW w:w="2250" w:type="dxa"/>
            <w:vAlign w:val="center"/>
          </w:tcPr>
          <w:p w14:paraId="06087D5A" w14:textId="2A53CB25" w:rsidR="001C3BC4" w:rsidRPr="00753453" w:rsidRDefault="001C3BC4" w:rsidP="00753453">
            <w:pPr>
              <w:rPr>
                <w:rFonts w:ascii="Source Sans Pro" w:hAnsi="Source Sans Pro"/>
                <w:b/>
                <w:bCs/>
                <w:color w:val="1C9AD6"/>
                <w:sz w:val="22"/>
                <w:szCs w:val="22"/>
              </w:rPr>
            </w:pPr>
            <w:r w:rsidRPr="00753453">
              <w:rPr>
                <w:rFonts w:ascii="Source Sans Pro" w:hAnsi="Source Sans Pro"/>
                <w:b/>
                <w:bCs/>
                <w:color w:val="1C9AD6"/>
                <w:sz w:val="22"/>
                <w:szCs w:val="22"/>
              </w:rPr>
              <w:t>Comments</w:t>
            </w:r>
          </w:p>
        </w:tc>
        <w:tc>
          <w:tcPr>
            <w:tcW w:w="2785" w:type="dxa"/>
            <w:vAlign w:val="center"/>
          </w:tcPr>
          <w:p w14:paraId="0EBDAC95" w14:textId="31A8D285" w:rsidR="001C3BC4" w:rsidRPr="00753453" w:rsidRDefault="001C3BC4" w:rsidP="00753453">
            <w:pPr>
              <w:rPr>
                <w:rFonts w:ascii="Source Sans Pro" w:hAnsi="Source Sans Pro"/>
                <w:b/>
                <w:bCs/>
                <w:color w:val="1C9AD6"/>
                <w:sz w:val="22"/>
                <w:szCs w:val="22"/>
              </w:rPr>
            </w:pPr>
            <w:r w:rsidRPr="00753453">
              <w:rPr>
                <w:rFonts w:ascii="Source Sans Pro" w:hAnsi="Source Sans Pro"/>
                <w:b/>
                <w:bCs/>
                <w:color w:val="1C9AD6"/>
                <w:sz w:val="22"/>
                <w:szCs w:val="22"/>
              </w:rPr>
              <w:t>Possible Solutions</w:t>
            </w:r>
          </w:p>
        </w:tc>
      </w:tr>
      <w:tr w:rsidR="001C3BC4" w14:paraId="52A5258C" w14:textId="77777777" w:rsidTr="00753453">
        <w:trPr>
          <w:trHeight w:val="1152"/>
        </w:trPr>
        <w:tc>
          <w:tcPr>
            <w:tcW w:w="3775" w:type="dxa"/>
            <w:vAlign w:val="center"/>
          </w:tcPr>
          <w:p w14:paraId="17D86E1B" w14:textId="3A078725" w:rsidR="001C3BC4" w:rsidRPr="007456CF" w:rsidRDefault="001C3BC4" w:rsidP="007456CF">
            <w:pPr>
              <w:pStyle w:val="ListParagraph"/>
              <w:numPr>
                <w:ilvl w:val="0"/>
                <w:numId w:val="1"/>
              </w:numPr>
              <w:ind w:left="253" w:hanging="270"/>
              <w:rPr>
                <w:rFonts w:ascii="Source Sans Pro" w:hAnsi="Source Sans Pro"/>
                <w:color w:val="000000"/>
                <w:sz w:val="20"/>
                <w:szCs w:val="20"/>
              </w:rPr>
            </w:pPr>
            <w:r w:rsidRPr="007456CF">
              <w:rPr>
                <w:rFonts w:ascii="Source Sans Pro" w:hAnsi="Source Sans Pro"/>
                <w:color w:val="000000"/>
                <w:sz w:val="20"/>
                <w:szCs w:val="20"/>
              </w:rPr>
              <w:t>Flooring material appears to provide inadequate friction considering intended use and common contaminants</w:t>
            </w:r>
          </w:p>
        </w:tc>
        <w:tc>
          <w:tcPr>
            <w:tcW w:w="540" w:type="dxa"/>
            <w:vAlign w:val="center"/>
          </w:tcPr>
          <w:p w14:paraId="6504BDF9" w14:textId="695346EC" w:rsidR="001C3BC4" w:rsidRPr="007456CF" w:rsidRDefault="001C3BC4" w:rsidP="007456CF">
            <w:pPr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r w:rsidRPr="007456CF"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  <w:t>Pick</w:t>
            </w:r>
          </w:p>
        </w:tc>
        <w:tc>
          <w:tcPr>
            <w:tcW w:w="2250" w:type="dxa"/>
            <w:vAlign w:val="center"/>
          </w:tcPr>
          <w:p w14:paraId="01F8F432" w14:textId="5D834DB0" w:rsidR="001C3BC4" w:rsidRPr="007456CF" w:rsidRDefault="001C3BC4" w:rsidP="007456CF">
            <w:pPr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r w:rsidRPr="007456CF"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  <w:t>Enter Comments</w:t>
            </w:r>
          </w:p>
        </w:tc>
        <w:tc>
          <w:tcPr>
            <w:tcW w:w="2785" w:type="dxa"/>
            <w:vAlign w:val="center"/>
          </w:tcPr>
          <w:p w14:paraId="46BCC382" w14:textId="45214988" w:rsidR="001C3BC4" w:rsidRPr="007456CF" w:rsidRDefault="001C3BC4" w:rsidP="007456CF">
            <w:pPr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r w:rsidRPr="007456CF"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  <w:t>Enter solutions</w:t>
            </w:r>
          </w:p>
        </w:tc>
      </w:tr>
      <w:tr w:rsidR="001C3BC4" w14:paraId="4951C62A" w14:textId="77777777" w:rsidTr="00753453">
        <w:trPr>
          <w:trHeight w:val="720"/>
        </w:trPr>
        <w:tc>
          <w:tcPr>
            <w:tcW w:w="3775" w:type="dxa"/>
            <w:vAlign w:val="center"/>
          </w:tcPr>
          <w:p w14:paraId="249E5C1B" w14:textId="3FDBAFE8" w:rsidR="001C3BC4" w:rsidRPr="007456CF" w:rsidRDefault="001C3BC4" w:rsidP="007456CF">
            <w:pPr>
              <w:pStyle w:val="ListParagraph"/>
              <w:numPr>
                <w:ilvl w:val="0"/>
                <w:numId w:val="1"/>
              </w:numPr>
              <w:ind w:left="253" w:hanging="253"/>
              <w:rPr>
                <w:rFonts w:ascii="Source Sans Pro" w:hAnsi="Source Sans Pro"/>
                <w:color w:val="000000"/>
                <w:sz w:val="20"/>
                <w:szCs w:val="20"/>
              </w:rPr>
            </w:pPr>
            <w:r w:rsidRPr="007456CF">
              <w:rPr>
                <w:rFonts w:ascii="Source Sans Pro" w:hAnsi="Source Sans Pro"/>
                <w:color w:val="000000"/>
                <w:sz w:val="20"/>
                <w:szCs w:val="20"/>
              </w:rPr>
              <w:t>Presence of Surface Irregularities or Damage</w:t>
            </w:r>
          </w:p>
        </w:tc>
        <w:tc>
          <w:tcPr>
            <w:tcW w:w="540" w:type="dxa"/>
            <w:vAlign w:val="center"/>
          </w:tcPr>
          <w:p w14:paraId="6A402F07" w14:textId="5EAE1B7E" w:rsidR="001C3BC4" w:rsidRPr="007456CF" w:rsidRDefault="001C3BC4" w:rsidP="007456CF">
            <w:pPr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r w:rsidRPr="007456CF"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  <w:t>Pick</w:t>
            </w:r>
          </w:p>
        </w:tc>
        <w:tc>
          <w:tcPr>
            <w:tcW w:w="2250" w:type="dxa"/>
            <w:vAlign w:val="center"/>
          </w:tcPr>
          <w:p w14:paraId="3B591ABA" w14:textId="3162D6F5" w:rsidR="001C3BC4" w:rsidRPr="007456CF" w:rsidRDefault="001C3BC4" w:rsidP="007456CF">
            <w:pPr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r w:rsidRPr="007456CF"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  <w:t>Enter Comments</w:t>
            </w:r>
          </w:p>
        </w:tc>
        <w:tc>
          <w:tcPr>
            <w:tcW w:w="2785" w:type="dxa"/>
            <w:vAlign w:val="center"/>
          </w:tcPr>
          <w:p w14:paraId="64631CB9" w14:textId="21140994" w:rsidR="001C3BC4" w:rsidRPr="007456CF" w:rsidRDefault="001C3BC4" w:rsidP="007456CF">
            <w:pPr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r w:rsidRPr="007456CF"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  <w:t>Enter solutions</w:t>
            </w:r>
          </w:p>
        </w:tc>
      </w:tr>
      <w:tr w:rsidR="001C3BC4" w14:paraId="0A74571A" w14:textId="77777777" w:rsidTr="00753453">
        <w:trPr>
          <w:trHeight w:val="720"/>
        </w:trPr>
        <w:tc>
          <w:tcPr>
            <w:tcW w:w="3775" w:type="dxa"/>
            <w:vAlign w:val="center"/>
          </w:tcPr>
          <w:p w14:paraId="612C14BE" w14:textId="4B562AA9" w:rsidR="001C3BC4" w:rsidRPr="007456CF" w:rsidRDefault="001C3BC4" w:rsidP="007456CF">
            <w:pPr>
              <w:ind w:left="163" w:hanging="163"/>
              <w:rPr>
                <w:rFonts w:ascii="Source Sans Pro" w:hAnsi="Source Sans Pro"/>
                <w:color w:val="000000"/>
                <w:sz w:val="20"/>
                <w:szCs w:val="20"/>
              </w:rPr>
            </w:pPr>
            <w:r w:rsidRPr="007456CF">
              <w:rPr>
                <w:rFonts w:ascii="Source Sans Pro" w:hAnsi="Source Sans Pro"/>
                <w:color w:val="000000"/>
                <w:sz w:val="20"/>
                <w:szCs w:val="20"/>
              </w:rPr>
              <w:t>3. Flooring transition point</w:t>
            </w:r>
            <w:r w:rsidR="00F716DB">
              <w:rPr>
                <w:rFonts w:ascii="Source Sans Pro" w:hAnsi="Source Sans Pro"/>
                <w:color w:val="000000"/>
                <w:sz w:val="20"/>
                <w:szCs w:val="20"/>
              </w:rPr>
              <w:t>s</w:t>
            </w:r>
            <w:r w:rsidRPr="007456CF">
              <w:rPr>
                <w:rFonts w:ascii="Source Sans Pro" w:hAnsi="Source Sans Pro"/>
                <w:color w:val="000000"/>
                <w:sz w:val="20"/>
                <w:szCs w:val="20"/>
              </w:rPr>
              <w:t xml:space="preserve"> that appear to pose a significant change in floor friction</w:t>
            </w:r>
          </w:p>
        </w:tc>
        <w:tc>
          <w:tcPr>
            <w:tcW w:w="540" w:type="dxa"/>
            <w:vAlign w:val="center"/>
          </w:tcPr>
          <w:p w14:paraId="7324B4E8" w14:textId="0F3EDE4F" w:rsidR="001C3BC4" w:rsidRPr="007456CF" w:rsidRDefault="001C3BC4" w:rsidP="007456CF">
            <w:pPr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r w:rsidRPr="007456CF"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  <w:t>Pick</w:t>
            </w:r>
          </w:p>
        </w:tc>
        <w:tc>
          <w:tcPr>
            <w:tcW w:w="2250" w:type="dxa"/>
            <w:vAlign w:val="center"/>
          </w:tcPr>
          <w:p w14:paraId="623D1A18" w14:textId="1801DE40" w:rsidR="001C3BC4" w:rsidRPr="007456CF" w:rsidRDefault="001C3BC4" w:rsidP="007456CF">
            <w:pPr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r w:rsidRPr="007456CF"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  <w:t>Enter Comments</w:t>
            </w:r>
          </w:p>
        </w:tc>
        <w:tc>
          <w:tcPr>
            <w:tcW w:w="2785" w:type="dxa"/>
            <w:vAlign w:val="center"/>
          </w:tcPr>
          <w:p w14:paraId="5D1F079F" w14:textId="18C028A4" w:rsidR="001C3BC4" w:rsidRPr="007456CF" w:rsidRDefault="001C3BC4" w:rsidP="007456CF">
            <w:pPr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r w:rsidRPr="007456CF"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  <w:t>Enter solutions</w:t>
            </w:r>
          </w:p>
        </w:tc>
      </w:tr>
      <w:tr w:rsidR="001C3BC4" w14:paraId="77496029" w14:textId="77777777" w:rsidTr="00753453">
        <w:trPr>
          <w:trHeight w:val="720"/>
        </w:trPr>
        <w:tc>
          <w:tcPr>
            <w:tcW w:w="3775" w:type="dxa"/>
            <w:vAlign w:val="center"/>
          </w:tcPr>
          <w:p w14:paraId="2C414169" w14:textId="4112278F" w:rsidR="001C3BC4" w:rsidRPr="007456CF" w:rsidRDefault="001C3BC4" w:rsidP="007456CF">
            <w:pPr>
              <w:ind w:left="163" w:hanging="163"/>
              <w:rPr>
                <w:rFonts w:ascii="Source Sans Pro" w:hAnsi="Source Sans Pro"/>
                <w:color w:val="000000"/>
                <w:sz w:val="20"/>
                <w:szCs w:val="20"/>
              </w:rPr>
            </w:pPr>
            <w:r w:rsidRPr="007456CF">
              <w:rPr>
                <w:rFonts w:ascii="Source Sans Pro" w:hAnsi="Source Sans Pro"/>
                <w:color w:val="000000"/>
                <w:sz w:val="20"/>
                <w:szCs w:val="20"/>
              </w:rPr>
              <w:t>4. Factors negatively impacting floor cleaning efficiency</w:t>
            </w:r>
          </w:p>
        </w:tc>
        <w:tc>
          <w:tcPr>
            <w:tcW w:w="540" w:type="dxa"/>
            <w:vAlign w:val="center"/>
          </w:tcPr>
          <w:p w14:paraId="5E77293E" w14:textId="79E348D3" w:rsidR="001C3BC4" w:rsidRPr="007456CF" w:rsidRDefault="001C3BC4" w:rsidP="007456CF">
            <w:pPr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r w:rsidRPr="007456CF"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  <w:t>Pick</w:t>
            </w:r>
          </w:p>
        </w:tc>
        <w:tc>
          <w:tcPr>
            <w:tcW w:w="2250" w:type="dxa"/>
            <w:vAlign w:val="center"/>
          </w:tcPr>
          <w:p w14:paraId="1C761009" w14:textId="1AB809E7" w:rsidR="001C3BC4" w:rsidRPr="007456CF" w:rsidRDefault="001C3BC4" w:rsidP="007456CF">
            <w:pPr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r w:rsidRPr="007456CF"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  <w:t>Enter Comments</w:t>
            </w:r>
          </w:p>
        </w:tc>
        <w:tc>
          <w:tcPr>
            <w:tcW w:w="2785" w:type="dxa"/>
            <w:vAlign w:val="center"/>
          </w:tcPr>
          <w:p w14:paraId="7851DAF2" w14:textId="54FAF476" w:rsidR="001C3BC4" w:rsidRPr="007456CF" w:rsidRDefault="001C3BC4" w:rsidP="007456CF">
            <w:pPr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r w:rsidRPr="007456CF"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  <w:t>Enter solutions</w:t>
            </w:r>
          </w:p>
        </w:tc>
      </w:tr>
      <w:tr w:rsidR="001C3BC4" w14:paraId="534B3E24" w14:textId="77777777" w:rsidTr="00753453">
        <w:trPr>
          <w:trHeight w:val="720"/>
        </w:trPr>
        <w:tc>
          <w:tcPr>
            <w:tcW w:w="3775" w:type="dxa"/>
            <w:vAlign w:val="center"/>
          </w:tcPr>
          <w:p w14:paraId="6F6EDB49" w14:textId="26F57DAF" w:rsidR="001C3BC4" w:rsidRPr="007456CF" w:rsidRDefault="001C3BC4" w:rsidP="007456CF">
            <w:pPr>
              <w:ind w:left="163" w:hanging="163"/>
              <w:rPr>
                <w:rFonts w:ascii="Source Sans Pro" w:hAnsi="Source Sans Pro"/>
                <w:color w:val="000000"/>
                <w:sz w:val="20"/>
                <w:szCs w:val="20"/>
              </w:rPr>
            </w:pPr>
            <w:r w:rsidRPr="007456CF">
              <w:rPr>
                <w:rFonts w:ascii="Source Sans Pro" w:hAnsi="Source Sans Pro"/>
                <w:color w:val="000000"/>
                <w:sz w:val="20"/>
                <w:szCs w:val="20"/>
              </w:rPr>
              <w:t>5. Risk factors associated with employee footwear choices</w:t>
            </w:r>
          </w:p>
        </w:tc>
        <w:tc>
          <w:tcPr>
            <w:tcW w:w="540" w:type="dxa"/>
            <w:vAlign w:val="center"/>
          </w:tcPr>
          <w:p w14:paraId="0ADF784F" w14:textId="1F6DB579" w:rsidR="001C3BC4" w:rsidRPr="007456CF" w:rsidRDefault="001C3BC4" w:rsidP="007456CF">
            <w:pPr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r w:rsidRPr="007456CF"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  <w:t>Pick</w:t>
            </w:r>
          </w:p>
        </w:tc>
        <w:tc>
          <w:tcPr>
            <w:tcW w:w="2250" w:type="dxa"/>
            <w:vAlign w:val="center"/>
          </w:tcPr>
          <w:p w14:paraId="3A171AAF" w14:textId="2160B5CA" w:rsidR="001C3BC4" w:rsidRPr="007456CF" w:rsidRDefault="001C3BC4" w:rsidP="007456CF">
            <w:pPr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r w:rsidRPr="007456CF"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  <w:t>Enter Comments</w:t>
            </w:r>
          </w:p>
        </w:tc>
        <w:tc>
          <w:tcPr>
            <w:tcW w:w="2785" w:type="dxa"/>
            <w:vAlign w:val="center"/>
          </w:tcPr>
          <w:p w14:paraId="236776F4" w14:textId="089BBA35" w:rsidR="001C3BC4" w:rsidRPr="007456CF" w:rsidRDefault="001C3BC4" w:rsidP="007456CF">
            <w:pPr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r w:rsidRPr="007456CF"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  <w:t>Enter solutions</w:t>
            </w:r>
          </w:p>
        </w:tc>
      </w:tr>
      <w:tr w:rsidR="001C3BC4" w14:paraId="0BC216AF" w14:textId="77777777" w:rsidTr="00753453">
        <w:trPr>
          <w:trHeight w:val="1008"/>
        </w:trPr>
        <w:tc>
          <w:tcPr>
            <w:tcW w:w="3775" w:type="dxa"/>
            <w:vAlign w:val="center"/>
          </w:tcPr>
          <w:p w14:paraId="4BC88271" w14:textId="5FB1495D" w:rsidR="001C3BC4" w:rsidRPr="007456CF" w:rsidRDefault="001C3BC4" w:rsidP="007456CF">
            <w:pPr>
              <w:ind w:left="163" w:hanging="163"/>
              <w:rPr>
                <w:rFonts w:ascii="Source Sans Pro" w:hAnsi="Source Sans Pro"/>
                <w:color w:val="000000"/>
                <w:sz w:val="20"/>
                <w:szCs w:val="20"/>
              </w:rPr>
            </w:pPr>
            <w:r w:rsidRPr="007456CF">
              <w:rPr>
                <w:rFonts w:ascii="Source Sans Pro" w:hAnsi="Source Sans Pro"/>
                <w:color w:val="000000"/>
                <w:sz w:val="20"/>
                <w:szCs w:val="20"/>
              </w:rPr>
              <w:t>6. Matting does not sufficiently capture contaminants at entryways or provide increased</w:t>
            </w:r>
            <w:r w:rsidR="007456CF" w:rsidRPr="007456CF">
              <w:rPr>
                <w:rFonts w:ascii="Source Sans Pro" w:hAnsi="Source Sans Pro"/>
                <w:color w:val="000000"/>
                <w:sz w:val="20"/>
                <w:szCs w:val="20"/>
              </w:rPr>
              <w:t xml:space="preserve"> traction near liquid sources</w:t>
            </w:r>
          </w:p>
        </w:tc>
        <w:tc>
          <w:tcPr>
            <w:tcW w:w="540" w:type="dxa"/>
            <w:vAlign w:val="center"/>
          </w:tcPr>
          <w:p w14:paraId="6641194B" w14:textId="4ED7AF4F" w:rsidR="001C3BC4" w:rsidRPr="007456CF" w:rsidRDefault="001C3BC4" w:rsidP="007456CF">
            <w:pPr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r w:rsidRPr="007456CF"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  <w:t>Pick</w:t>
            </w:r>
          </w:p>
        </w:tc>
        <w:tc>
          <w:tcPr>
            <w:tcW w:w="2250" w:type="dxa"/>
            <w:vAlign w:val="center"/>
          </w:tcPr>
          <w:p w14:paraId="6A742FD4" w14:textId="162ADC2E" w:rsidR="001C3BC4" w:rsidRPr="007456CF" w:rsidRDefault="001C3BC4" w:rsidP="007456CF">
            <w:pPr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r w:rsidRPr="007456CF"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  <w:t>Enter Comments</w:t>
            </w:r>
          </w:p>
        </w:tc>
        <w:tc>
          <w:tcPr>
            <w:tcW w:w="2785" w:type="dxa"/>
            <w:vAlign w:val="center"/>
          </w:tcPr>
          <w:p w14:paraId="065BD334" w14:textId="2FECF22B" w:rsidR="001C3BC4" w:rsidRPr="007456CF" w:rsidRDefault="001C3BC4" w:rsidP="007456CF">
            <w:pPr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r w:rsidRPr="007456CF"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  <w:t>Enter solutions</w:t>
            </w:r>
          </w:p>
        </w:tc>
      </w:tr>
      <w:tr w:rsidR="001C3BC4" w14:paraId="2646AD56" w14:textId="77777777" w:rsidTr="00753453">
        <w:trPr>
          <w:trHeight w:val="432"/>
        </w:trPr>
        <w:tc>
          <w:tcPr>
            <w:tcW w:w="3775" w:type="dxa"/>
            <w:vAlign w:val="center"/>
          </w:tcPr>
          <w:p w14:paraId="261AD019" w14:textId="1E664755" w:rsidR="001C3BC4" w:rsidRPr="007456CF" w:rsidRDefault="007456CF" w:rsidP="007456CF">
            <w:pPr>
              <w:rPr>
                <w:rFonts w:ascii="Source Sans Pro" w:hAnsi="Source Sans Pro"/>
                <w:color w:val="000000"/>
                <w:sz w:val="20"/>
                <w:szCs w:val="20"/>
              </w:rPr>
            </w:pPr>
            <w:r w:rsidRPr="007456CF">
              <w:rPr>
                <w:rFonts w:ascii="Source Sans Pro" w:hAnsi="Source Sans Pro"/>
                <w:color w:val="000000"/>
                <w:sz w:val="20"/>
                <w:szCs w:val="20"/>
              </w:rPr>
              <w:t>7. Poor Housekeeping</w:t>
            </w:r>
          </w:p>
        </w:tc>
        <w:tc>
          <w:tcPr>
            <w:tcW w:w="540" w:type="dxa"/>
            <w:vAlign w:val="center"/>
          </w:tcPr>
          <w:p w14:paraId="6DAE24F3" w14:textId="436D470F" w:rsidR="001C3BC4" w:rsidRPr="007456CF" w:rsidRDefault="001C3BC4" w:rsidP="007456CF">
            <w:pPr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r w:rsidRPr="007456CF"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  <w:t>Pick</w:t>
            </w:r>
          </w:p>
        </w:tc>
        <w:tc>
          <w:tcPr>
            <w:tcW w:w="2250" w:type="dxa"/>
            <w:vAlign w:val="center"/>
          </w:tcPr>
          <w:p w14:paraId="4CCC5E43" w14:textId="054D835E" w:rsidR="001C3BC4" w:rsidRPr="007456CF" w:rsidRDefault="001C3BC4" w:rsidP="007456CF">
            <w:pPr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r w:rsidRPr="007456CF"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  <w:t>Enter Comments</w:t>
            </w:r>
          </w:p>
        </w:tc>
        <w:tc>
          <w:tcPr>
            <w:tcW w:w="2785" w:type="dxa"/>
            <w:vAlign w:val="center"/>
          </w:tcPr>
          <w:p w14:paraId="5748FE0A" w14:textId="00747EB5" w:rsidR="001C3BC4" w:rsidRPr="007456CF" w:rsidRDefault="001C3BC4" w:rsidP="007456CF">
            <w:pPr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r w:rsidRPr="007456CF"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  <w:t>Enter solutions</w:t>
            </w:r>
          </w:p>
        </w:tc>
      </w:tr>
      <w:tr w:rsidR="007456CF" w14:paraId="65989ED5" w14:textId="77777777" w:rsidTr="00753453">
        <w:trPr>
          <w:trHeight w:val="1008"/>
        </w:trPr>
        <w:tc>
          <w:tcPr>
            <w:tcW w:w="3775" w:type="dxa"/>
            <w:vAlign w:val="center"/>
          </w:tcPr>
          <w:p w14:paraId="19FF8263" w14:textId="323D2EFC" w:rsidR="007456CF" w:rsidRPr="007456CF" w:rsidRDefault="007456CF" w:rsidP="007456CF">
            <w:pPr>
              <w:ind w:left="163" w:hanging="163"/>
              <w:rPr>
                <w:rFonts w:ascii="Source Sans Pro" w:hAnsi="Source Sans Pro"/>
                <w:color w:val="000000"/>
                <w:sz w:val="20"/>
                <w:szCs w:val="20"/>
              </w:rPr>
            </w:pPr>
            <w:r w:rsidRPr="007456CF">
              <w:rPr>
                <w:rFonts w:ascii="Source Sans Pro" w:hAnsi="Source Sans Pro"/>
                <w:color w:val="000000"/>
                <w:sz w:val="20"/>
                <w:szCs w:val="20"/>
              </w:rPr>
              <w:t>8. Incentives driving risky behaviors (</w:t>
            </w:r>
            <w:proofErr w:type="spellStart"/>
            <w:r w:rsidRPr="007456CF">
              <w:rPr>
                <w:rFonts w:ascii="Source Sans Pro" w:hAnsi="Source Sans Pro"/>
                <w:color w:val="000000"/>
                <w:sz w:val="20"/>
                <w:szCs w:val="20"/>
              </w:rPr>
              <w:t>ie</w:t>
            </w:r>
            <w:proofErr w:type="spellEnd"/>
            <w:r w:rsidRPr="007456CF">
              <w:rPr>
                <w:rFonts w:ascii="Source Sans Pro" w:hAnsi="Source Sans Pro"/>
                <w:color w:val="000000"/>
                <w:sz w:val="20"/>
                <w:szCs w:val="20"/>
              </w:rPr>
              <w:t>: rushing, slow spill response, poor housekeeping, etc.)</w:t>
            </w:r>
          </w:p>
        </w:tc>
        <w:tc>
          <w:tcPr>
            <w:tcW w:w="540" w:type="dxa"/>
            <w:vAlign w:val="center"/>
          </w:tcPr>
          <w:p w14:paraId="7A39CD1A" w14:textId="15D03634" w:rsidR="007456CF" w:rsidRPr="007456CF" w:rsidRDefault="007456CF" w:rsidP="007456CF">
            <w:pPr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r w:rsidRPr="007456CF"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  <w:t>Pick</w:t>
            </w:r>
          </w:p>
        </w:tc>
        <w:tc>
          <w:tcPr>
            <w:tcW w:w="2250" w:type="dxa"/>
            <w:vAlign w:val="center"/>
          </w:tcPr>
          <w:p w14:paraId="167E670B" w14:textId="7D80057C" w:rsidR="007456CF" w:rsidRPr="007456CF" w:rsidRDefault="007456CF" w:rsidP="007456CF">
            <w:pPr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r w:rsidRPr="007456CF"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  <w:t>Enter Comments</w:t>
            </w:r>
          </w:p>
        </w:tc>
        <w:tc>
          <w:tcPr>
            <w:tcW w:w="2785" w:type="dxa"/>
            <w:vAlign w:val="center"/>
          </w:tcPr>
          <w:p w14:paraId="0A43C992" w14:textId="27A7C026" w:rsidR="007456CF" w:rsidRPr="007456CF" w:rsidRDefault="007456CF" w:rsidP="007456CF">
            <w:pPr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r w:rsidRPr="007456CF"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  <w:t>Enter solutions</w:t>
            </w:r>
          </w:p>
        </w:tc>
      </w:tr>
    </w:tbl>
    <w:p w14:paraId="12BE833F" w14:textId="77777777" w:rsidR="001C3BC4" w:rsidRDefault="001C3BC4" w:rsidP="00474E3E">
      <w:pPr>
        <w:spacing w:line="240" w:lineRule="auto"/>
        <w:rPr>
          <w:rFonts w:ascii="Source Sans Pro" w:hAnsi="Source Sans Pro"/>
          <w:color w:val="000000"/>
          <w:sz w:val="22"/>
          <w:szCs w:val="22"/>
        </w:rPr>
      </w:pPr>
    </w:p>
    <w:p w14:paraId="09FA528F" w14:textId="77777777" w:rsidR="00753453" w:rsidRDefault="00753453" w:rsidP="00474E3E">
      <w:pPr>
        <w:spacing w:line="240" w:lineRule="auto"/>
        <w:rPr>
          <w:rFonts w:ascii="Source Sans Pro" w:hAnsi="Source Sans Pro"/>
          <w:color w:val="000000"/>
          <w:sz w:val="22"/>
          <w:szCs w:val="22"/>
        </w:rPr>
      </w:pPr>
    </w:p>
    <w:p w14:paraId="58FC2C17" w14:textId="77777777" w:rsidR="00753453" w:rsidRDefault="00753453" w:rsidP="00474E3E">
      <w:pPr>
        <w:spacing w:line="240" w:lineRule="auto"/>
        <w:rPr>
          <w:rFonts w:ascii="Source Sans Pro" w:hAnsi="Source Sans Pro"/>
          <w:color w:val="000000"/>
          <w:sz w:val="22"/>
          <w:szCs w:val="22"/>
        </w:rPr>
      </w:pPr>
    </w:p>
    <w:p w14:paraId="38BCE39B" w14:textId="21294275" w:rsidR="00753453" w:rsidRDefault="00753453" w:rsidP="00474E3E">
      <w:pPr>
        <w:spacing w:line="240" w:lineRule="auto"/>
        <w:rPr>
          <w:rFonts w:ascii="Source Sans Pro" w:hAnsi="Source Sans Pro"/>
          <w:color w:val="1C9AD6"/>
          <w:sz w:val="28"/>
          <w:szCs w:val="28"/>
        </w:rPr>
      </w:pPr>
      <w:r w:rsidRPr="00753453">
        <w:rPr>
          <w:rFonts w:ascii="Source Sans Pro" w:hAnsi="Source Sans Pro"/>
          <w:color w:val="1C9AD6"/>
          <w:sz w:val="28"/>
          <w:szCs w:val="28"/>
        </w:rPr>
        <w:t>Example Possible Solutions:</w:t>
      </w:r>
    </w:p>
    <w:p w14:paraId="636F40A3" w14:textId="429C1464" w:rsidR="00753453" w:rsidRDefault="00753453" w:rsidP="003F3461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rPr>
          <w:rFonts w:ascii="Source Sans Pro" w:hAnsi="Source Sans Pro"/>
          <w:color w:val="262626" w:themeColor="text1" w:themeTint="D9"/>
          <w:sz w:val="22"/>
          <w:szCs w:val="22"/>
        </w:rPr>
      </w:pPr>
      <w:r w:rsidRPr="00753453">
        <w:rPr>
          <w:rFonts w:ascii="Source Sans Pro" w:hAnsi="Source Sans Pro"/>
          <w:color w:val="262626" w:themeColor="text1" w:themeTint="D9"/>
          <w:sz w:val="22"/>
          <w:szCs w:val="22"/>
        </w:rPr>
        <w:t>Partner</w:t>
      </w:r>
      <w:r>
        <w:rPr>
          <w:rFonts w:ascii="Source Sans Pro" w:hAnsi="Source Sans Pro"/>
          <w:color w:val="262626" w:themeColor="text1" w:themeTint="D9"/>
          <w:sz w:val="22"/>
          <w:szCs w:val="22"/>
        </w:rPr>
        <w:t xml:space="preserve"> with a slip resistant floor treatment vendor to identify opportunities to increase the amount of friction your flooring provides.</w:t>
      </w:r>
    </w:p>
    <w:p w14:paraId="09AE1083" w14:textId="1EB14481" w:rsidR="00753453" w:rsidRDefault="00753453" w:rsidP="003F3461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rPr>
          <w:rFonts w:ascii="Source Sans Pro" w:hAnsi="Source Sans Pro"/>
          <w:color w:val="262626" w:themeColor="text1" w:themeTint="D9"/>
          <w:sz w:val="22"/>
          <w:szCs w:val="22"/>
        </w:rPr>
      </w:pPr>
      <w:r>
        <w:rPr>
          <w:rFonts w:ascii="Source Sans Pro" w:hAnsi="Source Sans Pro"/>
          <w:color w:val="262626" w:themeColor="text1" w:themeTint="D9"/>
          <w:sz w:val="22"/>
          <w:szCs w:val="22"/>
        </w:rPr>
        <w:t>Implement a footwear policy requiring employees to report to work in slip resistant footwear.</w:t>
      </w:r>
    </w:p>
    <w:p w14:paraId="6F70F7AF" w14:textId="4BE9FA31" w:rsidR="00753453" w:rsidRDefault="00753453" w:rsidP="003F3461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rPr>
          <w:rFonts w:ascii="Source Sans Pro" w:hAnsi="Source Sans Pro"/>
          <w:color w:val="262626" w:themeColor="text1" w:themeTint="D9"/>
          <w:sz w:val="22"/>
          <w:szCs w:val="22"/>
        </w:rPr>
      </w:pPr>
      <w:r>
        <w:rPr>
          <w:rFonts w:ascii="Source Sans Pro" w:hAnsi="Source Sans Pro"/>
          <w:color w:val="262626" w:themeColor="text1" w:themeTint="D9"/>
          <w:sz w:val="22"/>
          <w:szCs w:val="22"/>
        </w:rPr>
        <w:t xml:space="preserve">Consider partnering with a safety footwear vendor to provide full worker reimbursement for slip resistant shoes. This can be an avenue to </w:t>
      </w:r>
      <w:r w:rsidR="00B53885">
        <w:rPr>
          <w:rFonts w:ascii="Source Sans Pro" w:hAnsi="Source Sans Pro"/>
          <w:color w:val="262626" w:themeColor="text1" w:themeTint="D9"/>
          <w:sz w:val="22"/>
          <w:szCs w:val="22"/>
        </w:rPr>
        <w:t>increase</w:t>
      </w:r>
      <w:r>
        <w:rPr>
          <w:rFonts w:ascii="Source Sans Pro" w:hAnsi="Source Sans Pro"/>
          <w:color w:val="262626" w:themeColor="text1" w:themeTint="D9"/>
          <w:sz w:val="22"/>
          <w:szCs w:val="22"/>
        </w:rPr>
        <w:t xml:space="preserve"> control over the models being worn, frequency of replacement, and can make it easier to identify workers in non-compliance with the footwear policy.</w:t>
      </w:r>
    </w:p>
    <w:p w14:paraId="4E556407" w14:textId="066E3632" w:rsidR="00753453" w:rsidRDefault="00753453" w:rsidP="003F3461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rPr>
          <w:rFonts w:ascii="Source Sans Pro" w:hAnsi="Source Sans Pro"/>
          <w:color w:val="262626" w:themeColor="text1" w:themeTint="D9"/>
          <w:sz w:val="22"/>
          <w:szCs w:val="22"/>
        </w:rPr>
      </w:pPr>
      <w:r>
        <w:rPr>
          <w:rFonts w:ascii="Source Sans Pro" w:hAnsi="Source Sans Pro"/>
          <w:color w:val="262626" w:themeColor="text1" w:themeTint="D9"/>
          <w:sz w:val="22"/>
          <w:szCs w:val="22"/>
        </w:rPr>
        <w:t xml:space="preserve">Review your slip resistant footwear vendor’s resting results and restrict worker reimbursement to the highest performing models. </w:t>
      </w:r>
    </w:p>
    <w:p w14:paraId="251C18C5" w14:textId="4C996A68" w:rsidR="00753453" w:rsidRDefault="00753453" w:rsidP="003F3461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rPr>
          <w:rFonts w:ascii="Source Sans Pro" w:hAnsi="Source Sans Pro"/>
          <w:color w:val="262626" w:themeColor="text1" w:themeTint="D9"/>
          <w:sz w:val="22"/>
          <w:szCs w:val="22"/>
        </w:rPr>
      </w:pPr>
      <w:r>
        <w:rPr>
          <w:rFonts w:ascii="Source Sans Pro" w:hAnsi="Source Sans Pro"/>
          <w:color w:val="262626" w:themeColor="text1" w:themeTint="D9"/>
          <w:sz w:val="22"/>
          <w:szCs w:val="22"/>
        </w:rPr>
        <w:t>Implement</w:t>
      </w:r>
      <w:r w:rsidR="003F3461">
        <w:rPr>
          <w:rFonts w:ascii="Source Sans Pro" w:hAnsi="Source Sans Pro"/>
          <w:color w:val="262626" w:themeColor="text1" w:themeTint="D9"/>
          <w:sz w:val="22"/>
          <w:szCs w:val="22"/>
        </w:rPr>
        <w:t xml:space="preserve"> replacement guidelines for slip resistant footwear.</w:t>
      </w:r>
    </w:p>
    <w:p w14:paraId="0418C8DB" w14:textId="11F5A53A" w:rsidR="003F3461" w:rsidRDefault="003F3461" w:rsidP="003F3461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rPr>
          <w:rFonts w:ascii="Source Sans Pro" w:hAnsi="Source Sans Pro"/>
          <w:color w:val="262626" w:themeColor="text1" w:themeTint="D9"/>
          <w:sz w:val="22"/>
          <w:szCs w:val="22"/>
        </w:rPr>
      </w:pPr>
      <w:r>
        <w:rPr>
          <w:rFonts w:ascii="Source Sans Pro" w:hAnsi="Source Sans Pro"/>
          <w:color w:val="262626" w:themeColor="text1" w:themeTint="D9"/>
          <w:sz w:val="22"/>
          <w:szCs w:val="22"/>
        </w:rPr>
        <w:t>Provide slip resistant overshoes to new workers until they obtain their own pair of slip resistant footwear.</w:t>
      </w:r>
    </w:p>
    <w:p w14:paraId="2EB3AA6E" w14:textId="2A52E278" w:rsidR="003F3461" w:rsidRDefault="003F3461" w:rsidP="003F3461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rPr>
          <w:rFonts w:ascii="Source Sans Pro" w:hAnsi="Source Sans Pro"/>
          <w:color w:val="262626" w:themeColor="text1" w:themeTint="D9"/>
          <w:sz w:val="22"/>
          <w:szCs w:val="22"/>
        </w:rPr>
      </w:pPr>
      <w:r>
        <w:rPr>
          <w:rFonts w:ascii="Source Sans Pro" w:hAnsi="Source Sans Pro"/>
          <w:color w:val="262626" w:themeColor="text1" w:themeTint="D9"/>
          <w:sz w:val="22"/>
          <w:szCs w:val="22"/>
        </w:rPr>
        <w:t>Maintain spill cleanup supplies close to where they are most often needed.</w:t>
      </w:r>
    </w:p>
    <w:p w14:paraId="0D9DE365" w14:textId="1D5814B8" w:rsidR="003F3461" w:rsidRDefault="003F3461" w:rsidP="003F3461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rPr>
          <w:rFonts w:ascii="Source Sans Pro" w:hAnsi="Source Sans Pro"/>
          <w:color w:val="262626" w:themeColor="text1" w:themeTint="D9"/>
          <w:sz w:val="22"/>
          <w:szCs w:val="22"/>
        </w:rPr>
      </w:pPr>
      <w:r>
        <w:rPr>
          <w:rFonts w:ascii="Source Sans Pro" w:hAnsi="Source Sans Pro"/>
          <w:color w:val="262626" w:themeColor="text1" w:themeTint="D9"/>
          <w:sz w:val="22"/>
          <w:szCs w:val="22"/>
        </w:rPr>
        <w:t>Audit floor cleaning chemicals to ensure they are appropriate for present contaminants and are being used according to the manufacturer guidelines.</w:t>
      </w:r>
    </w:p>
    <w:p w14:paraId="7282A102" w14:textId="28A3C9B7" w:rsidR="003F3461" w:rsidRDefault="003F3461" w:rsidP="003F3461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rPr>
          <w:rFonts w:ascii="Source Sans Pro" w:hAnsi="Source Sans Pro"/>
          <w:color w:val="262626" w:themeColor="text1" w:themeTint="D9"/>
          <w:sz w:val="22"/>
          <w:szCs w:val="22"/>
        </w:rPr>
      </w:pPr>
      <w:r>
        <w:rPr>
          <w:rFonts w:ascii="Source Sans Pro" w:hAnsi="Source Sans Pro"/>
          <w:color w:val="262626" w:themeColor="text1" w:themeTint="D9"/>
          <w:sz w:val="22"/>
          <w:szCs w:val="22"/>
        </w:rPr>
        <w:t>Utilize an alkaline degreaser and deck brush or scrubber to remove hardened grease deposit adjacent to the deep fryer.</w:t>
      </w:r>
    </w:p>
    <w:p w14:paraId="757EBA77" w14:textId="5CF9B745" w:rsidR="003F3461" w:rsidRDefault="003F3461" w:rsidP="003F3461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rPr>
          <w:rFonts w:ascii="Source Sans Pro" w:hAnsi="Source Sans Pro"/>
          <w:color w:val="262626" w:themeColor="text1" w:themeTint="D9"/>
          <w:sz w:val="22"/>
          <w:szCs w:val="22"/>
        </w:rPr>
      </w:pPr>
      <w:r>
        <w:rPr>
          <w:rFonts w:ascii="Source Sans Pro" w:hAnsi="Source Sans Pro"/>
          <w:color w:val="262626" w:themeColor="text1" w:themeTint="D9"/>
          <w:sz w:val="22"/>
          <w:szCs w:val="22"/>
        </w:rPr>
        <w:t xml:space="preserve">The current practice of single-step mopping is leaving an observable cleaner/contaminant residue on the floor surface that may cause it to be more slippery when wet. Utilize a hose or two-step mopping process to </w:t>
      </w:r>
      <w:proofErr w:type="gramStart"/>
      <w:r>
        <w:rPr>
          <w:rFonts w:ascii="Source Sans Pro" w:hAnsi="Source Sans Pro"/>
          <w:color w:val="262626" w:themeColor="text1" w:themeTint="D9"/>
          <w:sz w:val="22"/>
          <w:szCs w:val="22"/>
        </w:rPr>
        <w:t>more thoroughly remove floor cleaner</w:t>
      </w:r>
      <w:proofErr w:type="gramEnd"/>
      <w:r>
        <w:rPr>
          <w:rFonts w:ascii="Source Sans Pro" w:hAnsi="Source Sans Pro"/>
          <w:color w:val="262626" w:themeColor="text1" w:themeTint="D9"/>
          <w:sz w:val="22"/>
          <w:szCs w:val="22"/>
        </w:rPr>
        <w:t xml:space="preserve"> after it has been applied.</w:t>
      </w:r>
    </w:p>
    <w:p w14:paraId="55AEC5D2" w14:textId="559C1C16" w:rsidR="003F3461" w:rsidRDefault="003F3461" w:rsidP="003F3461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rPr>
          <w:rFonts w:ascii="Source Sans Pro" w:hAnsi="Source Sans Pro"/>
          <w:color w:val="262626" w:themeColor="text1" w:themeTint="D9"/>
          <w:sz w:val="22"/>
          <w:szCs w:val="22"/>
        </w:rPr>
      </w:pPr>
      <w:r>
        <w:rPr>
          <w:rFonts w:ascii="Source Sans Pro" w:hAnsi="Source Sans Pro"/>
          <w:color w:val="262626" w:themeColor="text1" w:themeTint="D9"/>
          <w:sz w:val="22"/>
          <w:szCs w:val="22"/>
        </w:rPr>
        <w:t>Implement an inspection process that includes the identification and correction of surface irregularities and poor housekeeping.</w:t>
      </w:r>
    </w:p>
    <w:p w14:paraId="2206AF0F" w14:textId="77777777" w:rsidR="003F3461" w:rsidRDefault="003F3461" w:rsidP="003F3461">
      <w:pPr>
        <w:spacing w:before="120" w:after="0" w:line="240" w:lineRule="auto"/>
        <w:rPr>
          <w:rFonts w:ascii="Source Sans Pro" w:hAnsi="Source Sans Pro"/>
          <w:color w:val="262626" w:themeColor="text1" w:themeTint="D9"/>
          <w:sz w:val="22"/>
          <w:szCs w:val="22"/>
        </w:rPr>
      </w:pPr>
    </w:p>
    <w:p w14:paraId="5CB214FC" w14:textId="77777777" w:rsidR="003F3461" w:rsidRDefault="003F3461" w:rsidP="003F3461">
      <w:pPr>
        <w:spacing w:before="120" w:after="0" w:line="240" w:lineRule="auto"/>
        <w:jc w:val="center"/>
        <w:rPr>
          <w:rFonts w:ascii="Source Sans Pro" w:hAnsi="Source Sans Pro"/>
          <w:color w:val="1C9AD6"/>
          <w:sz w:val="28"/>
          <w:szCs w:val="28"/>
        </w:rPr>
      </w:pPr>
    </w:p>
    <w:p w14:paraId="2188743B" w14:textId="6499006C" w:rsidR="003F3461" w:rsidRPr="003F3461" w:rsidRDefault="003F3461" w:rsidP="003F3461">
      <w:pPr>
        <w:spacing w:before="120" w:after="0" w:line="240" w:lineRule="auto"/>
        <w:jc w:val="center"/>
        <w:rPr>
          <w:rFonts w:ascii="Source Sans Pro" w:hAnsi="Source Sans Pro"/>
          <w:color w:val="262626" w:themeColor="text1" w:themeTint="D9"/>
          <w:sz w:val="22"/>
          <w:szCs w:val="22"/>
        </w:rPr>
      </w:pPr>
      <w:r>
        <w:rPr>
          <w:rFonts w:ascii="Source Sans Pro" w:hAnsi="Source Sans Pro"/>
          <w:color w:val="1C9AD6"/>
          <w:sz w:val="28"/>
          <w:szCs w:val="28"/>
        </w:rPr>
        <w:t xml:space="preserve">Learn more about preventing Slips, Trips, &amp; Falls at </w:t>
      </w:r>
      <w:r w:rsidRPr="003F3461">
        <w:rPr>
          <w:rFonts w:ascii="Source Sans Pro" w:hAnsi="Source Sans Pro"/>
          <w:b/>
          <w:bCs/>
          <w:color w:val="1C9AD6"/>
          <w:sz w:val="28"/>
          <w:szCs w:val="28"/>
        </w:rPr>
        <w:t>icwgroup.com/</w:t>
      </w:r>
      <w:proofErr w:type="gramStart"/>
      <w:r w:rsidRPr="003F3461">
        <w:rPr>
          <w:rFonts w:ascii="Source Sans Pro" w:hAnsi="Source Sans Pro"/>
          <w:b/>
          <w:bCs/>
          <w:color w:val="1C9AD6"/>
          <w:sz w:val="28"/>
          <w:szCs w:val="28"/>
        </w:rPr>
        <w:t>safety</w:t>
      </w:r>
      <w:proofErr w:type="gramEnd"/>
    </w:p>
    <w:sectPr w:rsidR="003F3461" w:rsidRPr="003F3461" w:rsidSect="008F68D9">
      <w:headerReference w:type="default" r:id="rId7"/>
      <w:pgSz w:w="12240" w:h="15840"/>
      <w:pgMar w:top="1440" w:right="1440" w:bottom="107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147C4" w14:textId="77777777" w:rsidR="008F68D9" w:rsidRDefault="008F68D9" w:rsidP="009F776C">
      <w:pPr>
        <w:spacing w:after="0" w:line="240" w:lineRule="auto"/>
      </w:pPr>
      <w:r>
        <w:separator/>
      </w:r>
    </w:p>
  </w:endnote>
  <w:endnote w:type="continuationSeparator" w:id="0">
    <w:p w14:paraId="542C1853" w14:textId="77777777" w:rsidR="008F68D9" w:rsidRDefault="008F68D9" w:rsidP="009F7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3D28C" w14:textId="77777777" w:rsidR="008F68D9" w:rsidRDefault="008F68D9" w:rsidP="009F776C">
      <w:pPr>
        <w:spacing w:after="0" w:line="240" w:lineRule="auto"/>
      </w:pPr>
      <w:r>
        <w:separator/>
      </w:r>
    </w:p>
  </w:footnote>
  <w:footnote w:type="continuationSeparator" w:id="0">
    <w:p w14:paraId="44AF8CB6" w14:textId="77777777" w:rsidR="008F68D9" w:rsidRDefault="008F68D9" w:rsidP="009F7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A6E4D" w14:textId="69035AB3" w:rsidR="009F776C" w:rsidRDefault="009F776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BB81B5" wp14:editId="544905BE">
          <wp:simplePos x="0" y="0"/>
          <wp:positionH relativeFrom="column">
            <wp:posOffset>-924128</wp:posOffset>
          </wp:positionH>
          <wp:positionV relativeFrom="paragraph">
            <wp:posOffset>-457200</wp:posOffset>
          </wp:positionV>
          <wp:extent cx="8127585" cy="1439694"/>
          <wp:effectExtent l="0" t="0" r="635" b="0"/>
          <wp:wrapNone/>
          <wp:docPr id="1864580664" name="Picture 1" descr="A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4580664" name="Picture 1" descr="A blue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4026" cy="14426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5395F"/>
    <w:multiLevelType w:val="hybridMultilevel"/>
    <w:tmpl w:val="0434B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00DCD"/>
    <w:multiLevelType w:val="hybridMultilevel"/>
    <w:tmpl w:val="4EDA6656"/>
    <w:lvl w:ilvl="0" w:tplc="DE3C4BE0"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b w:val="0"/>
        <w:bCs w:val="0"/>
        <w:i w:val="0"/>
        <w:iCs w:val="0"/>
        <w:color w:val="DB6015"/>
        <w:spacing w:val="0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034799">
    <w:abstractNumId w:val="0"/>
  </w:num>
  <w:num w:numId="2" w16cid:durableId="320162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76C"/>
    <w:rsid w:val="001530BB"/>
    <w:rsid w:val="001C3BC4"/>
    <w:rsid w:val="003F3461"/>
    <w:rsid w:val="00474E3E"/>
    <w:rsid w:val="006E6689"/>
    <w:rsid w:val="007456CF"/>
    <w:rsid w:val="00753453"/>
    <w:rsid w:val="00810464"/>
    <w:rsid w:val="008F68D9"/>
    <w:rsid w:val="009F776C"/>
    <w:rsid w:val="00B53885"/>
    <w:rsid w:val="00CE0FC8"/>
    <w:rsid w:val="00F7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9AD70"/>
  <w15:chartTrackingRefBased/>
  <w15:docId w15:val="{9BED59C8-4FFE-574E-A300-FD3EDD4D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7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7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7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7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7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7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7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7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7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7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7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7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7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7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7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7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7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7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7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776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F7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76C"/>
  </w:style>
  <w:style w:type="paragraph" w:styleId="Footer">
    <w:name w:val="footer"/>
    <w:basedOn w:val="Normal"/>
    <w:link w:val="FooterChar"/>
    <w:uiPriority w:val="99"/>
    <w:unhideWhenUsed/>
    <w:rsid w:val="009F7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76C"/>
  </w:style>
  <w:style w:type="table" w:styleId="TableGrid">
    <w:name w:val="Table Grid"/>
    <w:basedOn w:val="TableNormal"/>
    <w:uiPriority w:val="39"/>
    <w:rsid w:val="00810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Olssen</dc:creator>
  <cp:keywords/>
  <dc:description/>
  <cp:lastModifiedBy>Jessica Northrup</cp:lastModifiedBy>
  <cp:revision>2</cp:revision>
  <dcterms:created xsi:type="dcterms:W3CDTF">2024-03-22T23:01:00Z</dcterms:created>
  <dcterms:modified xsi:type="dcterms:W3CDTF">2024-03-22T23:01:00Z</dcterms:modified>
</cp:coreProperties>
</file>